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8" w:rsidRPr="00AE01C8" w:rsidRDefault="00AE01C8" w:rsidP="00AE01C8">
      <w:pPr>
        <w:shd w:val="clear" w:color="auto" w:fill="FFFFFF"/>
        <w:spacing w:after="229" w:line="240" w:lineRule="auto"/>
        <w:outlineLvl w:val="2"/>
        <w:rPr>
          <w:rFonts w:ascii="Tahoma" w:eastAsia="Times New Roman" w:hAnsi="Tahoma" w:cs="Tahoma"/>
          <w:color w:val="153E76"/>
          <w:sz w:val="38"/>
          <w:szCs w:val="38"/>
          <w:lang w:eastAsia="ru-RU"/>
        </w:rPr>
      </w:pPr>
      <w:r w:rsidRPr="00AE01C8">
        <w:rPr>
          <w:rFonts w:ascii="Tahoma" w:eastAsia="Times New Roman" w:hAnsi="Tahoma" w:cs="Tahoma"/>
          <w:color w:val="003370"/>
          <w:sz w:val="38"/>
          <w:szCs w:val="38"/>
          <w:lang w:eastAsia="ru-RU"/>
        </w:rPr>
        <w:t>Цены и тарифы</w:t>
      </w:r>
    </w:p>
    <w:p w:rsidR="00AE01C8" w:rsidRPr="00AE01C8" w:rsidRDefault="00AE01C8" w:rsidP="00AE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Юридическим лицам и физическим лицам, потребляющим электроэнергию с целью осуществления предпринимательской деятельности, отнесенным к категории «прочие потребители», электроэнергия (мощность) поставляется по свободным (нерегулируемым) ценам.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Для договоров энергоснабжения</w:t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 конечная стоимость электроэнергии определяется как сумма нерегулируемой цены покупки электроэнергии (мощности) на оптовом рынке, регулируемых государством тарифов на услуги по передаче электроэнергии, сбытовой надбавки гарантирующего поставщика, а также тарифов инфраструктурных организаций.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Для договоров купли-продажи </w:t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конечная стоимость электроэнергии определяется как сумма нерегулируемой цены покупки электроэнергии (мощности) на оптовом рынке, сбытовой надбавки гарантирующего поставщика, а также тарифов инфраструктурных организаций. При этом необходимо заключить договор с сетевой организацией на услуги по доставке электроэнергии.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Тарифы на услуги сетевых организаций </w:t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(по передаче электроэнергии) - единые (котловые) тарифы и сбытовая надбавка устанавливаются Департаментом ТЭК и тарифного регулирования Вологодской области. </w:t>
      </w:r>
    </w:p>
    <w:p w:rsidR="00AE01C8" w:rsidRPr="00AE01C8" w:rsidRDefault="00AE01C8" w:rsidP="00AE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C8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Единые (котловые) тарифы дифференцируются по уровням напряжения: 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высокое первое напряжение (ВН</w:t>
      </w:r>
      <w:proofErr w:type="gram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1</w:t>
      </w:r>
      <w:proofErr w:type="gram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)* - объекты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и (или) их части, переданные в аренду организацией по управлению единой общероссийской электрической сетью территориальным сетевым организациям с учетом требований ст. 8 ФЗ "Об электроэнергетике";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высокое напряжение (ВН) - объекты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(110 кВ и выше), за исключением случаев, которые относятся к ВН1;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среднее первое напряжение (СН</w:t>
      </w:r>
      <w:proofErr w:type="gram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1</w:t>
      </w:r>
      <w:proofErr w:type="gram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) - объекты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(35 кВ);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среднее второе напряжение (СН2) - объекты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(20 - 1 кВ);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низкое напряжение (НН) - объекты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(ниже 1 кВ).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i/>
          <w:iCs/>
          <w:color w:val="555555"/>
          <w:sz w:val="14"/>
          <w:szCs w:val="14"/>
          <w:shd w:val="clear" w:color="auto" w:fill="FFFFFF"/>
          <w:lang w:eastAsia="ru-RU"/>
        </w:rPr>
        <w:t>*Постановление Правительства РФ от 31.07.2014 №750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AE01C8">
        <w:rPr>
          <w:rFonts w:ascii="Tahoma" w:eastAsia="Times New Roman" w:hAnsi="Tahoma" w:cs="Tahoma"/>
          <w:color w:val="003370"/>
          <w:sz w:val="14"/>
          <w:szCs w:val="14"/>
          <w:shd w:val="clear" w:color="auto" w:fill="FFFFFF"/>
          <w:lang w:eastAsia="ru-RU"/>
        </w:rPr>
        <w:t>Предельные уровни нерегулируемых цен</w:t>
      </w:r>
      <w:r w:rsidRPr="00AE01C8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 на электрическую энергию (мощность) рассчитываются по шести ценовым категориям. Ценовую категорию выбирает потребитель.</w:t>
      </w:r>
    </w:p>
    <w:p w:rsidR="00AE01C8" w:rsidRPr="00AE01C8" w:rsidRDefault="00AE01C8" w:rsidP="00AE01C8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AE01C8">
        <w:rPr>
          <w:rFonts w:ascii="Tahoma" w:eastAsia="Times New Roman" w:hAnsi="Tahoma" w:cs="Tahoma"/>
          <w:color w:val="003370"/>
          <w:sz w:val="14"/>
          <w:szCs w:val="14"/>
          <w:lang w:eastAsia="ru-RU"/>
        </w:rPr>
        <w:t>Сбытовая надбавка гарантирующего поставщика </w:t>
      </w: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зависит от величины максимальной мощности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энергопринимающих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 потребителя (менее 150 кВт, от 150 до 670 кВт, от 670 кВт до 10 МВт, не менее 10 МВт). </w:t>
      </w:r>
    </w:p>
    <w:p w:rsidR="00AE01C8" w:rsidRPr="00AE01C8" w:rsidRDefault="00AE01C8" w:rsidP="00AE01C8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AE01C8">
        <w:rPr>
          <w:rFonts w:ascii="Tahoma" w:eastAsia="Times New Roman" w:hAnsi="Tahoma" w:cs="Tahoma"/>
          <w:color w:val="003370"/>
          <w:sz w:val="14"/>
          <w:szCs w:val="14"/>
          <w:lang w:eastAsia="ru-RU"/>
        </w:rPr>
        <w:t>Что такое максимальная мощность?</w:t>
      </w:r>
    </w:p>
    <w:p w:rsidR="00AE01C8" w:rsidRPr="00AE01C8" w:rsidRDefault="00AE01C8" w:rsidP="00AE01C8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Наибольшая величина мощности, определенная к одномоментному использованию всеми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энергопринимающими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устройствами потребителя. Максимальная мощность фиксируется в документах о технологическом присоединении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энергопринимающего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оборудования потребителя к электросетям, именно в таких пределах сетевая организация принимает на себя обязательства обеспечить передачу электрической энергии. Максимальная мощность согласуется между потребителем и сетевой организацией, к сетям которой подключено </w:t>
      </w:r>
      <w:proofErr w:type="spellStart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энергопринимающее</w:t>
      </w:r>
      <w:proofErr w:type="spellEnd"/>
      <w:r w:rsidRPr="00AE01C8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оборудование потребителя. </w:t>
      </w:r>
    </w:p>
    <w:p w:rsidR="00AE01C8" w:rsidRPr="00AE01C8" w:rsidRDefault="00AE01C8" w:rsidP="00AE01C8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AE01C8">
        <w:rPr>
          <w:rFonts w:ascii="Tahoma" w:eastAsia="Times New Roman" w:hAnsi="Tahoma" w:cs="Tahoma"/>
          <w:color w:val="003370"/>
          <w:sz w:val="14"/>
          <w:szCs w:val="14"/>
          <w:lang w:eastAsia="ru-RU"/>
        </w:rPr>
        <w:t>Основы формирования цены за электроэнергию определены в следующих нормативно - правовых актах:</w:t>
      </w:r>
    </w:p>
    <w:p w:rsidR="00AE01C8" w:rsidRPr="00AE01C8" w:rsidRDefault="00AE01C8" w:rsidP="00AE01C8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AE01C8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Пункт 86 Основных положений функционирования розничных рынков электрической энергии (утверждены Постановлением Правительства РФ №442 от 04.05.2012)</w:t>
      </w:r>
    </w:p>
    <w:p w:rsidR="00A10451" w:rsidRDefault="00AE01C8" w:rsidP="00AE01C8">
      <w:r w:rsidRPr="00AE01C8">
        <w:rPr>
          <w:rFonts w:ascii="Tahoma" w:eastAsia="Times New Roman" w:hAnsi="Tahoma" w:cs="Tahoma"/>
          <w:i/>
          <w:iCs/>
          <w:color w:val="555555"/>
          <w:sz w:val="14"/>
          <w:szCs w:val="14"/>
          <w:shd w:val="clear" w:color="auto" w:fill="FFFFFF"/>
          <w:lang w:eastAsia="ru-RU"/>
        </w:rPr>
        <w:t>Пункт 65 Постановления Правительства РФ №1178 от 29.12.2011 "О ценообразовании в области регулируемых цен (тарифов) в электроэнергетике"</w:t>
      </w:r>
    </w:p>
    <w:sectPr w:rsidR="00A10451" w:rsidSect="00A1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01C8"/>
    <w:rsid w:val="00A10451"/>
    <w:rsid w:val="00A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1"/>
  </w:style>
  <w:style w:type="paragraph" w:styleId="3">
    <w:name w:val="heading 3"/>
    <w:basedOn w:val="a"/>
    <w:link w:val="30"/>
    <w:uiPriority w:val="9"/>
    <w:qFormat/>
    <w:rsid w:val="00AE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2020-03-11T08:54:00Z</dcterms:created>
  <dcterms:modified xsi:type="dcterms:W3CDTF">2020-03-11T08:55:00Z</dcterms:modified>
</cp:coreProperties>
</file>